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0" w:rsidRPr="00CB143C" w:rsidRDefault="00D13B10" w:rsidP="00D13B10">
      <w:pPr>
        <w:pStyle w:val="Body"/>
        <w:ind w:left="1440" w:hanging="14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B143C">
        <w:rPr>
          <w:rFonts w:ascii="Times New Roman" w:hAnsi="Times New Roman" w:cs="Times New Roman"/>
          <w:b/>
          <w:color w:val="auto"/>
          <w:sz w:val="24"/>
        </w:rPr>
        <w:t>Daniel 11 Conference Outline, 17</w:t>
      </w:r>
      <w:r w:rsidRPr="00CB143C">
        <w:rPr>
          <w:rFonts w:ascii="Times New Roman" w:hAnsi="Times New Roman" w:cs="Times New Roman"/>
          <w:b/>
          <w:color w:val="auto"/>
          <w:sz w:val="24"/>
          <w:vertAlign w:val="superscript"/>
        </w:rPr>
        <w:t>th</w:t>
      </w:r>
      <w:r w:rsidRPr="00CB143C">
        <w:rPr>
          <w:rFonts w:ascii="Times New Roman" w:hAnsi="Times New Roman" w:cs="Times New Roman"/>
          <w:b/>
          <w:color w:val="auto"/>
          <w:sz w:val="24"/>
        </w:rPr>
        <w:t xml:space="preserve"> – 19</w:t>
      </w:r>
      <w:r w:rsidRPr="00CB143C">
        <w:rPr>
          <w:rFonts w:ascii="Times New Roman" w:hAnsi="Times New Roman" w:cs="Times New Roman"/>
          <w:b/>
          <w:color w:val="auto"/>
          <w:sz w:val="24"/>
          <w:vertAlign w:val="superscript"/>
        </w:rPr>
        <w:t>th</w:t>
      </w:r>
      <w:r w:rsidRPr="00CB143C">
        <w:rPr>
          <w:rFonts w:ascii="Times New Roman" w:hAnsi="Times New Roman" w:cs="Times New Roman"/>
          <w:b/>
          <w:color w:val="auto"/>
          <w:sz w:val="24"/>
        </w:rPr>
        <w:t xml:space="preserve"> October 2019</w:t>
      </w:r>
    </w:p>
    <w:p w:rsidR="00D13B10" w:rsidRPr="00CB143C" w:rsidRDefault="00D13B10" w:rsidP="00D13B10">
      <w:pPr>
        <w:pStyle w:val="Body"/>
        <w:ind w:left="1440" w:hanging="1440"/>
        <w:rPr>
          <w:rFonts w:ascii="Times New Roman" w:hAnsi="Times New Roman" w:cs="Times New Roman"/>
          <w:color w:val="auto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5343"/>
        <w:gridCol w:w="3112"/>
      </w:tblGrid>
      <w:tr w:rsidR="00CB143C" w:rsidRPr="00CB143C" w:rsidTr="005A17DB">
        <w:tc>
          <w:tcPr>
            <w:tcW w:w="2340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Date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Event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Comments</w:t>
            </w:r>
          </w:p>
        </w:tc>
      </w:tr>
      <w:tr w:rsidR="00CB143C" w:rsidRPr="00CB143C" w:rsidTr="005A17DB">
        <w:tc>
          <w:tcPr>
            <w:tcW w:w="2340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8am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Introduction, housekeeping, affirmation of objectives, season of prayer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R Kelly t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>o lead. R Palacios to translate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throughout the entire event into Spanish. </w:t>
            </w: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9-12am</w:t>
            </w:r>
          </w:p>
        </w:tc>
        <w:tc>
          <w:tcPr>
            <w:tcW w:w="5343" w:type="dxa"/>
          </w:tcPr>
          <w:p w:rsidR="00F32A88" w:rsidRPr="00CB143C" w:rsidRDefault="00D13B10" w:rsidP="00F32A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Three presentations on the hermeneutics of Daniel 11. Mark Bates will speak on the 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figurative (spiritual) approach;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then Kim Kjaer will speak on the 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literal hermeneutical approach;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then Brendon Valiant will speak on the dichotomy between the literal and the spiritual / figurative hermeneutical approaches. Each </w:t>
            </w:r>
            <w:proofErr w:type="gram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60 minute</w:t>
            </w:r>
            <w:proofErr w:type="gram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segment will consist of a 30 minute presentation, 20 minutes dialogue and prayer among attendees, and a 10 minute break. </w:t>
            </w:r>
          </w:p>
          <w:p w:rsidR="00D13B10" w:rsidRPr="00CB143C" w:rsidRDefault="00D13B10" w:rsidP="00F32A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C. Vine will moderate this session. 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Need to confirm the moderator for the dialogue sessions. </w:t>
            </w: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12-1.30pm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Lunch break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 simple lunch will be provided in the Family Center</w:t>
            </w:r>
          </w:p>
        </w:tc>
      </w:tr>
      <w:tr w:rsidR="00CB143C" w:rsidRPr="00CB143C" w:rsidTr="005A17DB">
        <w:tc>
          <w:tcPr>
            <w:tcW w:w="2340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1.30-2pm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Season of prayer (Kelly)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2-5pm</w:t>
            </w:r>
          </w:p>
        </w:tc>
        <w:tc>
          <w:tcPr>
            <w:tcW w:w="5343" w:type="dxa"/>
          </w:tcPr>
          <w:p w:rsidR="00D13B10" w:rsidRPr="00CB143C" w:rsidRDefault="00AB6481" w:rsidP="00CB14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Two 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presentations. First, an analysis of the impact of Hans </w:t>
            </w:r>
            <w:proofErr w:type="spellStart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LaRondelle</w:t>
            </w:r>
            <w:proofErr w:type="spellEnd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and Louis Were on SDA eschatological interpretation by D. Fortin.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This first prese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>ntation will be for 60 minutes</w:t>
            </w:r>
            <w:r w:rsidR="00CB143C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. The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segment will consist of a </w:t>
            </w:r>
            <w:proofErr w:type="gram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30 minute</w:t>
            </w:r>
            <w:proofErr w:type="gram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presentation, 20 minutes dialogue and prayer among attendees, and a 10 minute break. 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William Fagal Sr will then present on EGW’s contribution to t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he interpretation of Daniel 11, and will focus on the extent to which she endorsed Uriah Smith’s interpretation of 11.40-45 and understanding of the “Eastern Question.” </w:t>
            </w:r>
            <w:r w:rsidR="00CB143C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This segment will last two hours. 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C. Vine will moderate this session. 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8-9am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Announcements, welcome, foot-washing service and prayer (R Kelly and Village SDA pastoral team)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9-12 noon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Scholars’ roundtable discussion of anchor /divergence texts in Daniel 11. Moderated by C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Vine. </w:t>
            </w:r>
          </w:p>
          <w:p w:rsidR="00A03A33" w:rsidRPr="00CB143C" w:rsidRDefault="00A03A33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03A33" w:rsidRPr="00CB143C" w:rsidRDefault="00A03A33" w:rsidP="00A03A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The list of scholars so far is as follows: Elias Brasil de Souza (maybe); Martin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Probstle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; Oliver Glanz (maybe); Jerome Skinner; Randy Younker; Michael Younker; Roy Gane; Amanda McGuire-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Moushon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Efrain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Velaszquez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Tarsee Li. 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R Gane to provide onscreen technical support throughout the Friday and Sabbath afternoon sessions. R Gane will circulate a list of anchor / divergence texts to the Hebrew scholars for preparation prior to the Conference. </w:t>
            </w:r>
          </w:p>
        </w:tc>
      </w:tr>
      <w:tr w:rsidR="00CB143C" w:rsidRPr="00CB143C" w:rsidTr="005A17DB">
        <w:tc>
          <w:tcPr>
            <w:tcW w:w="2340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12 noon – 1.30pm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Lunch break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 simple lunch will be provided in the Family Center</w:t>
            </w: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1.30 – 1.45pm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Season of prayer (R Kelly)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1.45 – 5pm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Scholars’ roundtable of anchor / divergence texts in Daniel 11. Moderated by C Vine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5-6pm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Supper.</w:t>
            </w:r>
          </w:p>
        </w:tc>
        <w:tc>
          <w:tcPr>
            <w:tcW w:w="3112" w:type="dxa"/>
          </w:tcPr>
          <w:p w:rsidR="00D13B10" w:rsidRPr="00CB143C" w:rsidRDefault="00AB6481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A simple supper </w:t>
            </w:r>
            <w:proofErr w:type="gramStart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will be provided</w:t>
            </w:r>
            <w:proofErr w:type="gramEnd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in the Family Center. This avoids attendees having to purchase food in the Sabbath hours.</w:t>
            </w: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First Service &amp; Second service.</w:t>
            </w:r>
          </w:p>
        </w:tc>
        <w:tc>
          <w:tcPr>
            <w:tcW w:w="5343" w:type="dxa"/>
          </w:tcPr>
          <w:p w:rsidR="00D13B10" w:rsidRPr="00CB143C" w:rsidRDefault="00D13B10" w:rsidP="00D13B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C Vine will preach in the 1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service. 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</w:rPr>
              <w:t>Elder Anthony Kent, Associate Secretary, Ministerial Association, GC of SDAs will preach in the 2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nd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service. 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10-11am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School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proofErr w:type="gram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An overview of EGW’s input on Daniel 11 by William Fagal Sr.</w:t>
            </w:r>
            <w:proofErr w:type="gram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, with a 30 minute dialogue and Q&amp;A moderated by C. Vine.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1-2pm</w:t>
            </w:r>
          </w:p>
        </w:tc>
        <w:tc>
          <w:tcPr>
            <w:tcW w:w="5343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Fellowship meal in the Family Center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:rsidTr="005A17DB">
        <w:tc>
          <w:tcPr>
            <w:tcW w:w="2340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2-5pm</w:t>
            </w:r>
          </w:p>
        </w:tc>
        <w:tc>
          <w:tcPr>
            <w:tcW w:w="5343" w:type="dxa"/>
          </w:tcPr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Season of prayer (R Kelly). Scholars’ roundtable of anchor / divergence texts in Daniel 11. </w:t>
            </w:r>
          </w:p>
          <w:p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30 minutes dialogue with attendees. Final takeaways. </w:t>
            </w:r>
          </w:p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Moderated by C Vine</w:t>
            </w:r>
          </w:p>
        </w:tc>
        <w:tc>
          <w:tcPr>
            <w:tcW w:w="3112" w:type="dxa"/>
          </w:tcPr>
          <w:p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D13B10" w:rsidRPr="00CB143C" w:rsidRDefault="00D13B10" w:rsidP="00D13B10">
      <w:pPr>
        <w:pStyle w:val="Body"/>
        <w:ind w:left="1440" w:hanging="1440"/>
        <w:rPr>
          <w:rFonts w:ascii="Times New Roman" w:hAnsi="Times New Roman" w:cs="Times New Roman"/>
          <w:color w:val="auto"/>
          <w:sz w:val="24"/>
        </w:rPr>
      </w:pPr>
    </w:p>
    <w:p w:rsidR="000E68C7" w:rsidRPr="00CB143C" w:rsidRDefault="000A7A30"/>
    <w:sectPr w:rsidR="000E68C7" w:rsidRPr="00CB143C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10"/>
    <w:rsid w:val="00722987"/>
    <w:rsid w:val="00831667"/>
    <w:rsid w:val="00952DF2"/>
    <w:rsid w:val="00A03A33"/>
    <w:rsid w:val="00AB5D5C"/>
    <w:rsid w:val="00AB6481"/>
    <w:rsid w:val="00B741FF"/>
    <w:rsid w:val="00CB143C"/>
    <w:rsid w:val="00D13B10"/>
    <w:rsid w:val="00E72307"/>
    <w:rsid w:val="00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1DE8"/>
  <w15:docId w15:val="{DC9D49A6-FBC6-43E7-9A65-26C55CD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Vine</dc:creator>
  <cp:lastModifiedBy>Conrad Vine</cp:lastModifiedBy>
  <cp:revision>2</cp:revision>
  <cp:lastPrinted>2019-06-26T17:33:00Z</cp:lastPrinted>
  <dcterms:created xsi:type="dcterms:W3CDTF">2019-06-27T12:00:00Z</dcterms:created>
  <dcterms:modified xsi:type="dcterms:W3CDTF">2019-06-27T12:00:00Z</dcterms:modified>
</cp:coreProperties>
</file>